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AA78" w14:textId="77777777" w:rsidR="00F23491" w:rsidRPr="00F23491" w:rsidRDefault="00F23491" w:rsidP="00F23491">
      <w:pPr>
        <w:spacing w:afterLines="100" w:after="360"/>
        <w:jc w:val="center"/>
        <w:rPr>
          <w:rFonts w:ascii="標楷體" w:eastAsia="標楷體" w:hAnsi="標楷體"/>
          <w:b/>
          <w:bCs/>
          <w:sz w:val="28"/>
          <w:szCs w:val="24"/>
        </w:rPr>
      </w:pPr>
      <w:r w:rsidRPr="00F23491">
        <w:rPr>
          <w:rFonts w:ascii="標楷體" w:eastAsia="標楷體" w:hAnsi="標楷體" w:hint="eastAsia"/>
          <w:b/>
          <w:bCs/>
          <w:sz w:val="28"/>
          <w:szCs w:val="24"/>
        </w:rPr>
        <w:t>國立臺灣藝術大學性別平等教育委員會設置要點</w:t>
      </w:r>
    </w:p>
    <w:p w14:paraId="5E269FD3" w14:textId="67977BB5" w:rsidR="00F23491" w:rsidRPr="00F23491" w:rsidRDefault="00F23491" w:rsidP="00F23491">
      <w:pPr>
        <w:spacing w:line="0" w:lineRule="atLeast"/>
        <w:jc w:val="right"/>
        <w:rPr>
          <w:rFonts w:ascii="標楷體" w:eastAsia="標楷體" w:hAnsi="標楷體"/>
          <w:sz w:val="16"/>
          <w:szCs w:val="14"/>
        </w:rPr>
      </w:pPr>
      <w:r w:rsidRPr="00F23491">
        <w:rPr>
          <w:rFonts w:ascii="標楷體" w:eastAsia="標楷體" w:hAnsi="標楷體" w:hint="eastAsia"/>
          <w:sz w:val="16"/>
          <w:szCs w:val="14"/>
        </w:rPr>
        <w:t>94.09.13-94 學年度第1學期性別平等教育委員會討論修正通過</w:t>
      </w:r>
    </w:p>
    <w:p w14:paraId="0ACE4084" w14:textId="5B461F65" w:rsidR="00F23491" w:rsidRPr="00F23491" w:rsidRDefault="00F23491" w:rsidP="00F23491">
      <w:pPr>
        <w:spacing w:line="0" w:lineRule="atLeast"/>
        <w:jc w:val="right"/>
        <w:rPr>
          <w:rFonts w:ascii="標楷體" w:eastAsia="標楷體" w:hAnsi="標楷體"/>
          <w:sz w:val="16"/>
          <w:szCs w:val="14"/>
        </w:rPr>
      </w:pPr>
      <w:r w:rsidRPr="00F23491">
        <w:rPr>
          <w:rFonts w:ascii="標楷體" w:eastAsia="標楷體" w:hAnsi="標楷體" w:hint="eastAsia"/>
          <w:sz w:val="16"/>
          <w:szCs w:val="14"/>
        </w:rPr>
        <w:t>94.09.27-94 學年度第1學期行政會議通過</w:t>
      </w:r>
    </w:p>
    <w:p w14:paraId="258DB9C8" w14:textId="722A5A7D" w:rsidR="00F23491" w:rsidRPr="00F23491" w:rsidRDefault="00F23491" w:rsidP="00F23491">
      <w:pPr>
        <w:spacing w:line="0" w:lineRule="atLeast"/>
        <w:jc w:val="right"/>
        <w:rPr>
          <w:rFonts w:ascii="標楷體" w:eastAsia="標楷體" w:hAnsi="標楷體"/>
          <w:sz w:val="16"/>
          <w:szCs w:val="14"/>
        </w:rPr>
      </w:pPr>
      <w:r w:rsidRPr="00F23491">
        <w:rPr>
          <w:rFonts w:ascii="標楷體" w:eastAsia="標楷體" w:hAnsi="標楷體" w:hint="eastAsia"/>
          <w:sz w:val="16"/>
          <w:szCs w:val="14"/>
        </w:rPr>
        <w:t>96.11.13-96 學年度第1學期第4次行政會議修正通過</w:t>
      </w:r>
    </w:p>
    <w:p w14:paraId="491CFF7A" w14:textId="069FC608" w:rsidR="00F23491" w:rsidRPr="00F23491" w:rsidRDefault="00F23491" w:rsidP="00F23491">
      <w:pPr>
        <w:spacing w:line="0" w:lineRule="atLeast"/>
        <w:jc w:val="right"/>
        <w:rPr>
          <w:rFonts w:ascii="標楷體" w:eastAsia="標楷體" w:hAnsi="標楷體"/>
          <w:sz w:val="16"/>
          <w:szCs w:val="14"/>
        </w:rPr>
      </w:pPr>
      <w:r w:rsidRPr="00F23491">
        <w:rPr>
          <w:rFonts w:ascii="標楷體" w:eastAsia="標楷體" w:hAnsi="標楷體" w:hint="eastAsia"/>
          <w:sz w:val="16"/>
          <w:szCs w:val="14"/>
        </w:rPr>
        <w:t>99.01.12-98 學年度第1學期第10次行政會議修正通過</w:t>
      </w:r>
    </w:p>
    <w:p w14:paraId="7881D2A5" w14:textId="222ED9FA" w:rsidR="00F23491" w:rsidRPr="00F23491" w:rsidRDefault="00F23491" w:rsidP="00F23491">
      <w:pPr>
        <w:spacing w:line="0" w:lineRule="atLeast"/>
        <w:jc w:val="right"/>
        <w:rPr>
          <w:rFonts w:ascii="標楷體" w:eastAsia="標楷體" w:hAnsi="標楷體"/>
          <w:sz w:val="16"/>
          <w:szCs w:val="14"/>
        </w:rPr>
      </w:pPr>
      <w:r w:rsidRPr="00F23491">
        <w:rPr>
          <w:rFonts w:ascii="標楷體" w:eastAsia="標楷體" w:hAnsi="標楷體" w:hint="eastAsia"/>
          <w:sz w:val="16"/>
          <w:szCs w:val="14"/>
        </w:rPr>
        <w:t>100.02.22-99 學年度第2學期第10次行政會議修正通過</w:t>
      </w:r>
    </w:p>
    <w:p w14:paraId="277AF04A" w14:textId="61C9FF4F" w:rsidR="00F23491" w:rsidRPr="00F23491" w:rsidRDefault="00F23491" w:rsidP="00F23491">
      <w:pPr>
        <w:spacing w:line="0" w:lineRule="atLeast"/>
        <w:jc w:val="right"/>
        <w:rPr>
          <w:rFonts w:ascii="標楷體" w:eastAsia="標楷體" w:hAnsi="標楷體"/>
          <w:sz w:val="16"/>
          <w:szCs w:val="14"/>
        </w:rPr>
      </w:pPr>
      <w:r w:rsidRPr="00F23491">
        <w:rPr>
          <w:rFonts w:ascii="標楷體" w:eastAsia="標楷體" w:hAnsi="標楷體" w:hint="eastAsia"/>
          <w:sz w:val="16"/>
          <w:szCs w:val="14"/>
        </w:rPr>
        <w:t>100.06.28-99 學年度第2學期第17次行政會議修正通過</w:t>
      </w:r>
    </w:p>
    <w:p w14:paraId="32611389" w14:textId="49C787C4" w:rsidR="00F23491" w:rsidRPr="00F23491" w:rsidRDefault="00F23491" w:rsidP="00F23491">
      <w:pPr>
        <w:spacing w:line="0" w:lineRule="atLeast"/>
        <w:jc w:val="right"/>
        <w:rPr>
          <w:rFonts w:ascii="標楷體" w:eastAsia="標楷體" w:hAnsi="標楷體"/>
          <w:sz w:val="16"/>
          <w:szCs w:val="14"/>
        </w:rPr>
      </w:pPr>
      <w:r w:rsidRPr="00F23491">
        <w:rPr>
          <w:rFonts w:ascii="標楷體" w:eastAsia="標楷體" w:hAnsi="標楷體" w:hint="eastAsia"/>
          <w:sz w:val="16"/>
          <w:szCs w:val="14"/>
        </w:rPr>
        <w:t xml:space="preserve">101.01.02-100 </w:t>
      </w:r>
      <w:proofErr w:type="gramStart"/>
      <w:r w:rsidRPr="00F23491">
        <w:rPr>
          <w:rFonts w:ascii="標楷體" w:eastAsia="標楷體" w:hAnsi="標楷體" w:hint="eastAsia"/>
          <w:sz w:val="16"/>
          <w:szCs w:val="14"/>
        </w:rPr>
        <w:t>學年度第</w:t>
      </w:r>
      <w:proofErr w:type="gramEnd"/>
      <w:r w:rsidRPr="00F23491">
        <w:rPr>
          <w:rFonts w:ascii="標楷體" w:eastAsia="標楷體" w:hAnsi="標楷體" w:hint="eastAsia"/>
          <w:sz w:val="16"/>
          <w:szCs w:val="14"/>
        </w:rPr>
        <w:t xml:space="preserve"> 1 學期第4次性別平等教育委員會討論修正通過</w:t>
      </w:r>
    </w:p>
    <w:p w14:paraId="513741A4" w14:textId="23715D4F" w:rsidR="00F23491" w:rsidRPr="00F23491" w:rsidRDefault="00F23491" w:rsidP="00F23491">
      <w:pPr>
        <w:spacing w:line="0" w:lineRule="atLeast"/>
        <w:jc w:val="right"/>
        <w:rPr>
          <w:rFonts w:ascii="標楷體" w:eastAsia="標楷體" w:hAnsi="標楷體"/>
          <w:sz w:val="16"/>
          <w:szCs w:val="14"/>
        </w:rPr>
      </w:pPr>
      <w:r w:rsidRPr="00F23491">
        <w:rPr>
          <w:rFonts w:ascii="標楷體" w:eastAsia="標楷體" w:hAnsi="標楷體" w:hint="eastAsia"/>
          <w:sz w:val="16"/>
          <w:szCs w:val="14"/>
        </w:rPr>
        <w:t>101.01.17-100 學年度第1學期第9次行政會議修正通過</w:t>
      </w:r>
    </w:p>
    <w:p w14:paraId="4FDE065F" w14:textId="2862C129" w:rsidR="00F23491" w:rsidRPr="00F23491" w:rsidRDefault="00F23491" w:rsidP="00F23491">
      <w:pPr>
        <w:spacing w:line="0" w:lineRule="atLeast"/>
        <w:jc w:val="right"/>
        <w:rPr>
          <w:rFonts w:ascii="標楷體" w:eastAsia="標楷體" w:hAnsi="標楷體"/>
          <w:sz w:val="16"/>
          <w:szCs w:val="14"/>
        </w:rPr>
      </w:pPr>
      <w:r w:rsidRPr="00F23491">
        <w:rPr>
          <w:rFonts w:ascii="標楷體" w:eastAsia="標楷體" w:hAnsi="標楷體" w:hint="eastAsia"/>
          <w:sz w:val="16"/>
          <w:szCs w:val="14"/>
        </w:rPr>
        <w:t>109.11.10-109 學年度第1學期第4次行政會議修正通過</w:t>
      </w:r>
    </w:p>
    <w:p w14:paraId="12D663CB" w14:textId="5B51C070" w:rsidR="00F23491" w:rsidRPr="00F23491" w:rsidRDefault="00F23491" w:rsidP="00F23491">
      <w:pPr>
        <w:pStyle w:val="a3"/>
        <w:numPr>
          <w:ilvl w:val="3"/>
          <w:numId w:val="2"/>
        </w:numPr>
        <w:spacing w:afterLines="100" w:after="360" w:line="0" w:lineRule="atLeast"/>
        <w:ind w:leftChars="0"/>
        <w:jc w:val="right"/>
        <w:rPr>
          <w:rFonts w:ascii="標楷體" w:eastAsia="標楷體" w:hAnsi="標楷體"/>
          <w:sz w:val="20"/>
          <w:szCs w:val="18"/>
        </w:rPr>
      </w:pPr>
      <w:r w:rsidRPr="00F23491">
        <w:rPr>
          <w:rFonts w:ascii="標楷體" w:eastAsia="標楷體" w:hAnsi="標楷體" w:hint="eastAsia"/>
          <w:sz w:val="16"/>
          <w:szCs w:val="14"/>
        </w:rPr>
        <w:t>學年度第1學期校務會議修正通過</w:t>
      </w:r>
    </w:p>
    <w:p w14:paraId="0A68CE21" w14:textId="2A21318F" w:rsidR="00F23491" w:rsidRDefault="00F23491" w:rsidP="00F23491">
      <w:pPr>
        <w:pStyle w:val="a3"/>
        <w:numPr>
          <w:ilvl w:val="0"/>
          <w:numId w:val="1"/>
        </w:numPr>
        <w:spacing w:line="0" w:lineRule="atLeast"/>
        <w:ind w:leftChars="0"/>
        <w:rPr>
          <w:rFonts w:ascii="標楷體" w:eastAsia="標楷體" w:hAnsi="標楷體"/>
        </w:rPr>
      </w:pPr>
      <w:r w:rsidRPr="00F23491">
        <w:rPr>
          <w:rFonts w:ascii="標楷體" w:eastAsia="標楷體" w:hAnsi="標楷體" w:hint="eastAsia"/>
        </w:rPr>
        <w:t>國立臺灣藝術大學(以下簡稱本校)為建立性別平等之教育資源與環境，促進性別地位實質平等，消除性別歧視，維護人格尊嚴，依據「性別平等教育法」（以下簡稱本法）設本校性別平等教育委員會(以下簡稱性平會)，並訂定「國立臺灣藝術大學性別平等教育委員會設置要點」（以下簡稱本要點）。</w:t>
      </w:r>
    </w:p>
    <w:p w14:paraId="4FBE6F20" w14:textId="3694ED85" w:rsidR="00F23491" w:rsidRPr="00F23491" w:rsidRDefault="00F23491" w:rsidP="00F23491">
      <w:pPr>
        <w:pStyle w:val="a3"/>
        <w:numPr>
          <w:ilvl w:val="0"/>
          <w:numId w:val="1"/>
        </w:numPr>
        <w:spacing w:line="0" w:lineRule="atLeast"/>
        <w:ind w:leftChars="0"/>
        <w:rPr>
          <w:rFonts w:ascii="標楷體" w:eastAsia="標楷體" w:hAnsi="標楷體"/>
        </w:rPr>
      </w:pPr>
      <w:r w:rsidRPr="00F23491">
        <w:rPr>
          <w:rFonts w:ascii="標楷體" w:eastAsia="標楷體" w:hAnsi="標楷體" w:hint="eastAsia"/>
        </w:rPr>
        <w:t>性平會置委員十三至二十一人，由下列人員組成：</w:t>
      </w:r>
    </w:p>
    <w:p w14:paraId="1C66B3A8" w14:textId="77777777" w:rsidR="00F23491" w:rsidRDefault="00F23491" w:rsidP="00F23491">
      <w:pPr>
        <w:pStyle w:val="a3"/>
        <w:numPr>
          <w:ilvl w:val="0"/>
          <w:numId w:val="3"/>
        </w:numPr>
        <w:spacing w:line="0" w:lineRule="atLeast"/>
        <w:ind w:leftChars="0" w:left="784" w:hanging="784"/>
        <w:rPr>
          <w:rFonts w:ascii="標楷體" w:eastAsia="標楷體" w:hAnsi="標楷體"/>
        </w:rPr>
      </w:pPr>
      <w:r w:rsidRPr="00F23491">
        <w:rPr>
          <w:rFonts w:ascii="標楷體" w:eastAsia="標楷體" w:hAnsi="標楷體" w:hint="eastAsia"/>
        </w:rPr>
        <w:t>置主任委員一人，由校長擔任，</w:t>
      </w:r>
      <w:proofErr w:type="gramStart"/>
      <w:r w:rsidRPr="00F23491">
        <w:rPr>
          <w:rFonts w:ascii="標楷體" w:eastAsia="標楷體" w:hAnsi="標楷體" w:hint="eastAsia"/>
        </w:rPr>
        <w:t>並置副主任委員</w:t>
      </w:r>
      <w:proofErr w:type="gramEnd"/>
      <w:r w:rsidRPr="00F23491">
        <w:rPr>
          <w:rFonts w:ascii="標楷體" w:eastAsia="標楷體" w:hAnsi="標楷體" w:hint="eastAsia"/>
        </w:rPr>
        <w:t>一人，由副校長擔任。</w:t>
      </w:r>
    </w:p>
    <w:p w14:paraId="39F48193" w14:textId="77777777" w:rsidR="00F23491" w:rsidRDefault="00F23491" w:rsidP="00F23491">
      <w:pPr>
        <w:pStyle w:val="a3"/>
        <w:numPr>
          <w:ilvl w:val="0"/>
          <w:numId w:val="3"/>
        </w:numPr>
        <w:spacing w:line="0" w:lineRule="atLeast"/>
        <w:ind w:leftChars="0" w:left="784" w:hanging="784"/>
        <w:rPr>
          <w:rFonts w:ascii="標楷體" w:eastAsia="標楷體" w:hAnsi="標楷體"/>
        </w:rPr>
      </w:pPr>
      <w:r w:rsidRPr="00F23491">
        <w:rPr>
          <w:rFonts w:ascii="標楷體" w:eastAsia="標楷體" w:hAnsi="標楷體" w:hint="eastAsia"/>
        </w:rPr>
        <w:t>執行秘書一人，由學生事務長擔任，召集會議並代表本委員會對外發言。</w:t>
      </w:r>
    </w:p>
    <w:p w14:paraId="39E83E92" w14:textId="77777777" w:rsidR="00F23491" w:rsidRDefault="00F23491" w:rsidP="00F23491">
      <w:pPr>
        <w:pStyle w:val="a3"/>
        <w:numPr>
          <w:ilvl w:val="0"/>
          <w:numId w:val="3"/>
        </w:numPr>
        <w:spacing w:line="0" w:lineRule="atLeast"/>
        <w:ind w:leftChars="0" w:left="784" w:hanging="784"/>
        <w:rPr>
          <w:rFonts w:ascii="標楷體" w:eastAsia="標楷體" w:hAnsi="標楷體"/>
        </w:rPr>
      </w:pPr>
      <w:r w:rsidRPr="00F23491">
        <w:rPr>
          <w:rFonts w:ascii="標楷體" w:eastAsia="標楷體" w:hAnsi="標楷體" w:hint="eastAsia"/>
        </w:rPr>
        <w:t>當然委員五人，由主任秘書、教務長、總務長、人事室主任、學</w:t>
      </w:r>
      <w:proofErr w:type="gramStart"/>
      <w:r w:rsidRPr="00F23491">
        <w:rPr>
          <w:rFonts w:ascii="標楷體" w:eastAsia="標楷體" w:hAnsi="標楷體" w:hint="eastAsia"/>
        </w:rPr>
        <w:t>務</w:t>
      </w:r>
      <w:proofErr w:type="gramEnd"/>
      <w:r w:rsidRPr="00F23491">
        <w:rPr>
          <w:rFonts w:ascii="標楷體" w:eastAsia="標楷體" w:hAnsi="標楷體" w:hint="eastAsia"/>
        </w:rPr>
        <w:t>處學生輔導中心主任為當然委員。</w:t>
      </w:r>
    </w:p>
    <w:p w14:paraId="074A666C" w14:textId="77777777" w:rsidR="00F23491" w:rsidRPr="002C3538" w:rsidRDefault="00F23491" w:rsidP="00F23491">
      <w:pPr>
        <w:pStyle w:val="a3"/>
        <w:numPr>
          <w:ilvl w:val="0"/>
          <w:numId w:val="3"/>
        </w:numPr>
        <w:spacing w:line="0" w:lineRule="atLeast"/>
        <w:ind w:leftChars="0" w:left="784" w:hanging="784"/>
        <w:rPr>
          <w:rFonts w:ascii="標楷體" w:eastAsia="標楷體" w:hAnsi="標楷體"/>
          <w:bCs/>
        </w:rPr>
      </w:pPr>
      <w:r w:rsidRPr="002C3538">
        <w:rPr>
          <w:rFonts w:ascii="標楷體" w:eastAsia="標楷體" w:hAnsi="標楷體" w:hint="eastAsia"/>
          <w:bCs/>
        </w:rPr>
        <w:t>選任委員七至九人，由校長</w:t>
      </w:r>
      <w:proofErr w:type="gramStart"/>
      <w:r w:rsidRPr="002C3538">
        <w:rPr>
          <w:rFonts w:ascii="標楷體" w:eastAsia="標楷體" w:hAnsi="標楷體" w:hint="eastAsia"/>
          <w:bCs/>
        </w:rPr>
        <w:t>遴聘具</w:t>
      </w:r>
      <w:proofErr w:type="gramEnd"/>
      <w:r w:rsidRPr="002C3538">
        <w:rPr>
          <w:rFonts w:ascii="標楷體" w:eastAsia="標楷體" w:hAnsi="標楷體" w:hint="eastAsia"/>
          <w:bCs/>
        </w:rPr>
        <w:t>性別平等意識之教職員代表。</w:t>
      </w:r>
    </w:p>
    <w:p w14:paraId="7FBE9C85" w14:textId="77777777" w:rsidR="00F23491" w:rsidRPr="002C3538" w:rsidRDefault="00F23491" w:rsidP="00F23491">
      <w:pPr>
        <w:pStyle w:val="a3"/>
        <w:numPr>
          <w:ilvl w:val="0"/>
          <w:numId w:val="3"/>
        </w:numPr>
        <w:spacing w:line="0" w:lineRule="atLeast"/>
        <w:ind w:leftChars="0" w:left="784" w:hanging="784"/>
        <w:rPr>
          <w:rFonts w:ascii="標楷體" w:eastAsia="標楷體" w:hAnsi="標楷體"/>
          <w:bCs/>
        </w:rPr>
      </w:pPr>
      <w:r w:rsidRPr="002C3538">
        <w:rPr>
          <w:rFonts w:ascii="標楷體" w:eastAsia="標楷體" w:hAnsi="標楷體" w:hint="eastAsia"/>
          <w:bCs/>
        </w:rPr>
        <w:t>性別平等教育相關領域之專家一至二人，由校長聘任之。</w:t>
      </w:r>
    </w:p>
    <w:p w14:paraId="4A4F3B56" w14:textId="0084BFCC" w:rsidR="00F23491" w:rsidRPr="002C3538" w:rsidRDefault="00F23491" w:rsidP="00F23491">
      <w:pPr>
        <w:pStyle w:val="a3"/>
        <w:numPr>
          <w:ilvl w:val="0"/>
          <w:numId w:val="3"/>
        </w:numPr>
        <w:spacing w:line="0" w:lineRule="atLeast"/>
        <w:ind w:leftChars="0" w:left="784" w:hanging="784"/>
        <w:rPr>
          <w:rFonts w:ascii="標楷體" w:eastAsia="標楷體" w:hAnsi="標楷體"/>
          <w:bCs/>
        </w:rPr>
      </w:pPr>
      <w:r w:rsidRPr="002C3538">
        <w:rPr>
          <w:rFonts w:ascii="標楷體" w:eastAsia="標楷體" w:hAnsi="標楷體" w:hint="eastAsia"/>
          <w:bCs/>
        </w:rPr>
        <w:t>學生委員二人，由學生自治組織推選。</w:t>
      </w:r>
    </w:p>
    <w:p w14:paraId="5CA43871" w14:textId="6238697A" w:rsidR="00F23491" w:rsidRPr="00F23491" w:rsidRDefault="00F23491" w:rsidP="00F23491">
      <w:pPr>
        <w:spacing w:line="0" w:lineRule="atLeast"/>
        <w:ind w:leftChars="326" w:left="782"/>
        <w:rPr>
          <w:rFonts w:ascii="標楷體" w:eastAsia="標楷體" w:hAnsi="標楷體"/>
        </w:rPr>
      </w:pPr>
      <w:r w:rsidRPr="002C3538">
        <w:rPr>
          <w:rFonts w:ascii="標楷體" w:eastAsia="標楷體" w:hAnsi="標楷體" w:hint="eastAsia"/>
          <w:bCs/>
        </w:rPr>
        <w:t>上述委員中女性委員應占委員總數二分之一以上。性平</w:t>
      </w:r>
      <w:r w:rsidRPr="00F23491">
        <w:rPr>
          <w:rFonts w:ascii="標楷體" w:eastAsia="標楷體" w:hAnsi="標楷體" w:hint="eastAsia"/>
        </w:rPr>
        <w:t>會每學期至少開會一次，由學</w:t>
      </w:r>
      <w:proofErr w:type="gramStart"/>
      <w:r w:rsidRPr="00F23491">
        <w:rPr>
          <w:rFonts w:ascii="標楷體" w:eastAsia="標楷體" w:hAnsi="標楷體" w:hint="eastAsia"/>
        </w:rPr>
        <w:t>務</w:t>
      </w:r>
      <w:proofErr w:type="gramEnd"/>
      <w:r w:rsidRPr="00F23491">
        <w:rPr>
          <w:rFonts w:ascii="標楷體" w:eastAsia="標楷體" w:hAnsi="標楷體" w:hint="eastAsia"/>
        </w:rPr>
        <w:t>處專人負責</w:t>
      </w:r>
      <w:proofErr w:type="gramStart"/>
      <w:r w:rsidRPr="00F23491">
        <w:rPr>
          <w:rFonts w:ascii="標楷體" w:eastAsia="標楷體" w:hAnsi="標楷體" w:hint="eastAsia"/>
        </w:rPr>
        <w:t>綜</w:t>
      </w:r>
      <w:proofErr w:type="gramEnd"/>
      <w:r w:rsidRPr="00F23491">
        <w:rPr>
          <w:rFonts w:ascii="標楷體" w:eastAsia="標楷體" w:hAnsi="標楷體" w:hint="eastAsia"/>
        </w:rPr>
        <w:t>理性平會相關業務，惟涉及應迴避事項依本校校園性侵害性騷擾或</w:t>
      </w:r>
      <w:proofErr w:type="gramStart"/>
      <w:r w:rsidRPr="00F23491">
        <w:rPr>
          <w:rFonts w:ascii="標楷體" w:eastAsia="標楷體" w:hAnsi="標楷體" w:hint="eastAsia"/>
        </w:rPr>
        <w:t>性霸凌</w:t>
      </w:r>
      <w:proofErr w:type="gramEnd"/>
      <w:r w:rsidRPr="00F23491">
        <w:rPr>
          <w:rFonts w:ascii="標楷體" w:eastAsia="標楷體" w:hAnsi="標楷體" w:hint="eastAsia"/>
        </w:rPr>
        <w:t>防治要點辦理。</w:t>
      </w:r>
    </w:p>
    <w:p w14:paraId="6E14B70B" w14:textId="77777777" w:rsidR="00F23491" w:rsidRDefault="00F23491" w:rsidP="00F23491">
      <w:pPr>
        <w:pStyle w:val="a3"/>
        <w:numPr>
          <w:ilvl w:val="0"/>
          <w:numId w:val="1"/>
        </w:numPr>
        <w:spacing w:line="0" w:lineRule="atLeast"/>
        <w:ind w:leftChars="0"/>
        <w:rPr>
          <w:rFonts w:ascii="標楷體" w:eastAsia="標楷體" w:hAnsi="標楷體"/>
        </w:rPr>
      </w:pPr>
      <w:r w:rsidRPr="00F23491">
        <w:rPr>
          <w:rFonts w:ascii="標楷體" w:eastAsia="標楷體" w:hAnsi="標楷體" w:hint="eastAsia"/>
        </w:rPr>
        <w:t>性平會除外聘委員外，</w:t>
      </w:r>
      <w:proofErr w:type="gramStart"/>
      <w:r w:rsidRPr="00F23491">
        <w:rPr>
          <w:rFonts w:ascii="標楷體" w:eastAsia="標楷體" w:hAnsi="標楷體" w:hint="eastAsia"/>
        </w:rPr>
        <w:t>均為無</w:t>
      </w:r>
      <w:proofErr w:type="gramEnd"/>
      <w:r w:rsidRPr="00F23491">
        <w:rPr>
          <w:rFonts w:ascii="標楷體" w:eastAsia="標楷體" w:hAnsi="標楷體" w:hint="eastAsia"/>
        </w:rPr>
        <w:t>給職，外聘委員出席會議依規定可支領出席費與交通費。</w:t>
      </w:r>
    </w:p>
    <w:p w14:paraId="2753EA53" w14:textId="478C57E5" w:rsidR="00F23491" w:rsidRPr="00F23491" w:rsidRDefault="00F23491" w:rsidP="00F23491">
      <w:pPr>
        <w:pStyle w:val="a3"/>
        <w:spacing w:line="0" w:lineRule="atLeast"/>
        <w:ind w:leftChars="0"/>
        <w:rPr>
          <w:rFonts w:ascii="標楷體" w:eastAsia="標楷體" w:hAnsi="標楷體"/>
        </w:rPr>
      </w:pPr>
      <w:r w:rsidRPr="00F23491">
        <w:rPr>
          <w:rFonts w:ascii="標楷體" w:eastAsia="標楷體" w:hAnsi="標楷體" w:hint="eastAsia"/>
        </w:rPr>
        <w:t>性平會任務如下：</w:t>
      </w:r>
    </w:p>
    <w:p w14:paraId="4D271244" w14:textId="77777777" w:rsidR="00F23491" w:rsidRDefault="00F23491" w:rsidP="00F23491">
      <w:pPr>
        <w:pStyle w:val="a3"/>
        <w:numPr>
          <w:ilvl w:val="0"/>
          <w:numId w:val="5"/>
        </w:numPr>
        <w:spacing w:line="0" w:lineRule="atLeast"/>
        <w:ind w:leftChars="0" w:left="798" w:hanging="798"/>
        <w:rPr>
          <w:rFonts w:ascii="標楷體" w:eastAsia="標楷體" w:hAnsi="標楷體"/>
        </w:rPr>
      </w:pPr>
      <w:r w:rsidRPr="00F23491">
        <w:rPr>
          <w:rFonts w:ascii="標楷體" w:eastAsia="標楷體" w:hAnsi="標楷體" w:hint="eastAsia"/>
        </w:rPr>
        <w:t>規劃年度經費預算，依照行政組織與運作、學習環境教學與資源、校園性別事件與性侵害性騷擾或</w:t>
      </w:r>
      <w:proofErr w:type="gramStart"/>
      <w:r w:rsidRPr="00F23491">
        <w:rPr>
          <w:rFonts w:ascii="標楷體" w:eastAsia="標楷體" w:hAnsi="標楷體" w:hint="eastAsia"/>
        </w:rPr>
        <w:t>性霸凌</w:t>
      </w:r>
      <w:proofErr w:type="gramEnd"/>
      <w:r w:rsidRPr="00F23491">
        <w:rPr>
          <w:rFonts w:ascii="標楷體" w:eastAsia="標楷體" w:hAnsi="標楷體" w:hint="eastAsia"/>
        </w:rPr>
        <w:t>防治與處理、校園文化環境與社區推展四大面向進行業務分工。</w:t>
      </w:r>
    </w:p>
    <w:p w14:paraId="09F147F2" w14:textId="77777777" w:rsidR="00F23491" w:rsidRDefault="00F23491" w:rsidP="00F23491">
      <w:pPr>
        <w:pStyle w:val="a3"/>
        <w:numPr>
          <w:ilvl w:val="0"/>
          <w:numId w:val="5"/>
        </w:numPr>
        <w:spacing w:line="0" w:lineRule="atLeast"/>
        <w:ind w:leftChars="0" w:left="798" w:hanging="798"/>
        <w:rPr>
          <w:rFonts w:ascii="標楷體" w:eastAsia="標楷體" w:hAnsi="標楷體"/>
        </w:rPr>
      </w:pPr>
      <w:r w:rsidRPr="00F23491">
        <w:rPr>
          <w:rFonts w:ascii="標楷體" w:eastAsia="標楷體" w:hAnsi="標楷體" w:hint="eastAsia"/>
        </w:rPr>
        <w:t>統整學校各單位相關資源， 擬訂性別平等教育實施計畫，落實並檢視其實施成果。</w:t>
      </w:r>
    </w:p>
    <w:p w14:paraId="7A7FF821" w14:textId="77777777" w:rsidR="00F23491" w:rsidRDefault="00F23491" w:rsidP="00F23491">
      <w:pPr>
        <w:pStyle w:val="a3"/>
        <w:numPr>
          <w:ilvl w:val="0"/>
          <w:numId w:val="5"/>
        </w:numPr>
        <w:spacing w:line="0" w:lineRule="atLeast"/>
        <w:ind w:leftChars="0" w:left="798" w:hanging="798"/>
        <w:rPr>
          <w:rFonts w:ascii="標楷體" w:eastAsia="標楷體" w:hAnsi="標楷體"/>
        </w:rPr>
      </w:pPr>
      <w:r w:rsidRPr="00F23491">
        <w:rPr>
          <w:rFonts w:ascii="標楷體" w:eastAsia="標楷體" w:hAnsi="標楷體" w:hint="eastAsia"/>
        </w:rPr>
        <w:t>規劃或辦理學生、教職員工及家長性別平等相關活動。</w:t>
      </w:r>
    </w:p>
    <w:p w14:paraId="48CE1116" w14:textId="77777777" w:rsidR="00F23491" w:rsidRDefault="00F23491" w:rsidP="00F23491">
      <w:pPr>
        <w:pStyle w:val="a3"/>
        <w:numPr>
          <w:ilvl w:val="0"/>
          <w:numId w:val="5"/>
        </w:numPr>
        <w:spacing w:line="0" w:lineRule="atLeast"/>
        <w:ind w:leftChars="0" w:left="798" w:hanging="798"/>
        <w:rPr>
          <w:rFonts w:ascii="標楷體" w:eastAsia="標楷體" w:hAnsi="標楷體"/>
        </w:rPr>
      </w:pPr>
      <w:r w:rsidRPr="00F23491">
        <w:rPr>
          <w:rFonts w:ascii="標楷體" w:eastAsia="標楷體" w:hAnsi="標楷體" w:hint="eastAsia"/>
        </w:rPr>
        <w:t>研發並推廣性別平等教育之課程、教學及評量。</w:t>
      </w:r>
    </w:p>
    <w:p w14:paraId="3F191FF3" w14:textId="77777777" w:rsidR="00F23491" w:rsidRDefault="00F23491" w:rsidP="00F23491">
      <w:pPr>
        <w:pStyle w:val="a3"/>
        <w:numPr>
          <w:ilvl w:val="0"/>
          <w:numId w:val="5"/>
        </w:numPr>
        <w:spacing w:line="0" w:lineRule="atLeast"/>
        <w:ind w:leftChars="0" w:left="798" w:hanging="798"/>
        <w:rPr>
          <w:rFonts w:ascii="標楷體" w:eastAsia="標楷體" w:hAnsi="標楷體"/>
        </w:rPr>
      </w:pPr>
      <w:proofErr w:type="gramStart"/>
      <w:r w:rsidRPr="00F23491">
        <w:rPr>
          <w:rFonts w:ascii="標楷體" w:eastAsia="標楷體" w:hAnsi="標楷體" w:hint="eastAsia"/>
        </w:rPr>
        <w:t>研</w:t>
      </w:r>
      <w:proofErr w:type="gramEnd"/>
      <w:r w:rsidRPr="00F23491">
        <w:rPr>
          <w:rFonts w:ascii="標楷體" w:eastAsia="標楷體" w:hAnsi="標楷體" w:hint="eastAsia"/>
        </w:rPr>
        <w:t>擬性別平等教育實施與校園性侵害性騷擾或</w:t>
      </w:r>
      <w:proofErr w:type="gramStart"/>
      <w:r w:rsidRPr="00F23491">
        <w:rPr>
          <w:rFonts w:ascii="標楷體" w:eastAsia="標楷體" w:hAnsi="標楷體" w:hint="eastAsia"/>
        </w:rPr>
        <w:t>性霸凌之</w:t>
      </w:r>
      <w:proofErr w:type="gramEnd"/>
      <w:r w:rsidRPr="00F23491">
        <w:rPr>
          <w:rFonts w:ascii="標楷體" w:eastAsia="標楷體" w:hAnsi="標楷體" w:hint="eastAsia"/>
        </w:rPr>
        <w:t>防治規定，建立機制，並協調及整合相關資源。</w:t>
      </w:r>
    </w:p>
    <w:p w14:paraId="5ADB916F" w14:textId="77777777" w:rsidR="00F23491" w:rsidRDefault="00F23491" w:rsidP="00F23491">
      <w:pPr>
        <w:pStyle w:val="a3"/>
        <w:numPr>
          <w:ilvl w:val="0"/>
          <w:numId w:val="5"/>
        </w:numPr>
        <w:spacing w:line="0" w:lineRule="atLeast"/>
        <w:ind w:leftChars="0" w:left="798" w:hanging="798"/>
        <w:rPr>
          <w:rFonts w:ascii="標楷體" w:eastAsia="標楷體" w:hAnsi="標楷體"/>
        </w:rPr>
      </w:pPr>
      <w:r w:rsidRPr="00F23491">
        <w:rPr>
          <w:rFonts w:ascii="標楷體" w:eastAsia="標楷體" w:hAnsi="標楷體" w:hint="eastAsia"/>
        </w:rPr>
        <w:t>調查及處理與學生有關之性別歧視、性侵害及性騷擾等相關申訴案件。</w:t>
      </w:r>
    </w:p>
    <w:p w14:paraId="070086AF" w14:textId="77777777" w:rsidR="00F23491" w:rsidRDefault="00F23491" w:rsidP="00F23491">
      <w:pPr>
        <w:pStyle w:val="a3"/>
        <w:numPr>
          <w:ilvl w:val="0"/>
          <w:numId w:val="5"/>
        </w:numPr>
        <w:spacing w:line="0" w:lineRule="atLeast"/>
        <w:ind w:leftChars="0" w:left="798" w:hanging="798"/>
        <w:rPr>
          <w:rFonts w:ascii="標楷體" w:eastAsia="標楷體" w:hAnsi="標楷體"/>
        </w:rPr>
      </w:pPr>
      <w:r w:rsidRPr="00F23491">
        <w:rPr>
          <w:rFonts w:ascii="標楷體" w:eastAsia="標楷體" w:hAnsi="標楷體" w:hint="eastAsia"/>
        </w:rPr>
        <w:t>規劃及建立性別平等之安全校園空間。</w:t>
      </w:r>
    </w:p>
    <w:p w14:paraId="22C61D60" w14:textId="4793AA7E" w:rsidR="00F23491" w:rsidRPr="00F23491" w:rsidRDefault="00F23491" w:rsidP="00F23491">
      <w:pPr>
        <w:pStyle w:val="a3"/>
        <w:numPr>
          <w:ilvl w:val="0"/>
          <w:numId w:val="5"/>
        </w:numPr>
        <w:spacing w:line="0" w:lineRule="atLeast"/>
        <w:ind w:leftChars="0" w:left="798" w:hanging="798"/>
        <w:rPr>
          <w:rFonts w:ascii="標楷體" w:eastAsia="標楷體" w:hAnsi="標楷體"/>
        </w:rPr>
      </w:pPr>
      <w:r w:rsidRPr="00F23491">
        <w:rPr>
          <w:rFonts w:ascii="標楷體" w:eastAsia="標楷體" w:hAnsi="標楷體" w:hint="eastAsia"/>
        </w:rPr>
        <w:t>推動校園與社區有關性別平等之家庭教育、社會教育、及其他相關之性別平等教育事務。</w:t>
      </w:r>
    </w:p>
    <w:p w14:paraId="2561AC77" w14:textId="538118A2" w:rsidR="00F23491" w:rsidRPr="00F23491" w:rsidRDefault="00F23491" w:rsidP="00F23491">
      <w:pPr>
        <w:pStyle w:val="a3"/>
        <w:numPr>
          <w:ilvl w:val="0"/>
          <w:numId w:val="1"/>
        </w:numPr>
        <w:spacing w:line="0" w:lineRule="atLeast"/>
        <w:ind w:leftChars="0"/>
        <w:rPr>
          <w:rFonts w:ascii="標楷體" w:eastAsia="標楷體" w:hAnsi="標楷體"/>
        </w:rPr>
      </w:pPr>
      <w:r w:rsidRPr="00F23491">
        <w:rPr>
          <w:rFonts w:ascii="標楷體" w:eastAsia="標楷體" w:hAnsi="標楷體" w:hint="eastAsia"/>
        </w:rPr>
        <w:lastRenderedPageBreak/>
        <w:t>為辦理本點各款業務，編組如下：</w:t>
      </w:r>
    </w:p>
    <w:p w14:paraId="2ADE79DD" w14:textId="77777777" w:rsidR="00F23491" w:rsidRDefault="00F23491" w:rsidP="00F23491">
      <w:pPr>
        <w:pStyle w:val="a3"/>
        <w:numPr>
          <w:ilvl w:val="0"/>
          <w:numId w:val="6"/>
        </w:numPr>
        <w:spacing w:line="0" w:lineRule="atLeast"/>
        <w:ind w:leftChars="0" w:left="784" w:hanging="784"/>
        <w:rPr>
          <w:rFonts w:ascii="標楷體" w:eastAsia="標楷體" w:hAnsi="標楷體"/>
        </w:rPr>
      </w:pPr>
      <w:r w:rsidRPr="00F23491">
        <w:rPr>
          <w:rFonts w:ascii="標楷體" w:eastAsia="標楷體" w:hAnsi="標楷體" w:hint="eastAsia"/>
        </w:rPr>
        <w:t>性別教育課程小組：由教務處規劃及推動性別平等相關課程、研究及獎勵措施。</w:t>
      </w:r>
    </w:p>
    <w:p w14:paraId="2E722240" w14:textId="77777777" w:rsidR="00F23491" w:rsidRDefault="00F23491" w:rsidP="00F23491">
      <w:pPr>
        <w:pStyle w:val="a3"/>
        <w:numPr>
          <w:ilvl w:val="0"/>
          <w:numId w:val="6"/>
        </w:numPr>
        <w:spacing w:line="0" w:lineRule="atLeast"/>
        <w:ind w:leftChars="0" w:left="784" w:hanging="784"/>
        <w:rPr>
          <w:rFonts w:ascii="標楷體" w:eastAsia="標楷體" w:hAnsi="標楷體"/>
        </w:rPr>
      </w:pPr>
      <w:r w:rsidRPr="00F23491">
        <w:rPr>
          <w:rFonts w:ascii="標楷體" w:eastAsia="標楷體" w:hAnsi="標楷體" w:hint="eastAsia"/>
        </w:rPr>
        <w:t xml:space="preserve">校園安全維護小組：由總務處負責規劃與執行校園空間設施，提供性別平等之學習生活及安全環境 </w:t>
      </w:r>
    </w:p>
    <w:p w14:paraId="483704BA" w14:textId="77777777" w:rsidR="00F23491" w:rsidRDefault="00F23491" w:rsidP="00F23491">
      <w:pPr>
        <w:pStyle w:val="a3"/>
        <w:numPr>
          <w:ilvl w:val="0"/>
          <w:numId w:val="6"/>
        </w:numPr>
        <w:spacing w:line="0" w:lineRule="atLeast"/>
        <w:ind w:leftChars="0" w:left="784" w:hanging="784"/>
        <w:rPr>
          <w:rFonts w:ascii="標楷體" w:eastAsia="標楷體" w:hAnsi="標楷體"/>
        </w:rPr>
      </w:pPr>
      <w:r w:rsidRPr="00F23491">
        <w:rPr>
          <w:rFonts w:ascii="標楷體" w:eastAsia="標楷體" w:hAnsi="標楷體" w:hint="eastAsia"/>
        </w:rPr>
        <w:t>行政輔導小組：由學</w:t>
      </w:r>
      <w:proofErr w:type="gramStart"/>
      <w:r w:rsidRPr="00F23491">
        <w:rPr>
          <w:rFonts w:ascii="標楷體" w:eastAsia="標楷體" w:hAnsi="標楷體" w:hint="eastAsia"/>
        </w:rPr>
        <w:t>務</w:t>
      </w:r>
      <w:proofErr w:type="gramEnd"/>
      <w:r w:rsidRPr="00F23491">
        <w:rPr>
          <w:rFonts w:ascii="標楷體" w:eastAsia="標楷體" w:hAnsi="標楷體" w:hint="eastAsia"/>
        </w:rPr>
        <w:t>處負責校園各項性別事件申請處理與行政流程。</w:t>
      </w:r>
    </w:p>
    <w:p w14:paraId="7C57D6BF" w14:textId="25D3C4F0" w:rsidR="00F23491" w:rsidRPr="00F23491" w:rsidRDefault="00F23491" w:rsidP="00F23491">
      <w:pPr>
        <w:pStyle w:val="a3"/>
        <w:numPr>
          <w:ilvl w:val="0"/>
          <w:numId w:val="6"/>
        </w:numPr>
        <w:spacing w:line="0" w:lineRule="atLeast"/>
        <w:ind w:leftChars="0" w:left="784" w:hanging="784"/>
        <w:rPr>
          <w:rFonts w:ascii="標楷體" w:eastAsia="標楷體" w:hAnsi="標楷體"/>
        </w:rPr>
      </w:pPr>
      <w:r w:rsidRPr="00F23491">
        <w:rPr>
          <w:rFonts w:ascii="標楷體" w:eastAsia="標楷體" w:hAnsi="標楷體" w:hint="eastAsia"/>
        </w:rPr>
        <w:t>宣傳暨推廣小組：由人事室及學</w:t>
      </w:r>
      <w:proofErr w:type="gramStart"/>
      <w:r w:rsidRPr="00F23491">
        <w:rPr>
          <w:rFonts w:ascii="標楷體" w:eastAsia="標楷體" w:hAnsi="標楷體" w:hint="eastAsia"/>
        </w:rPr>
        <w:t>務</w:t>
      </w:r>
      <w:proofErr w:type="gramEnd"/>
      <w:r w:rsidRPr="00F23491">
        <w:rPr>
          <w:rFonts w:ascii="標楷體" w:eastAsia="標楷體" w:hAnsi="標楷體" w:hint="eastAsia"/>
        </w:rPr>
        <w:t>處學生輔導中心分別負責教職員工與學生的性別平等觀念推廣，及性騷擾性侵害或</w:t>
      </w:r>
      <w:proofErr w:type="gramStart"/>
      <w:r w:rsidRPr="00F23491">
        <w:rPr>
          <w:rFonts w:ascii="標楷體" w:eastAsia="標楷體" w:hAnsi="標楷體" w:hint="eastAsia"/>
        </w:rPr>
        <w:t>性霸凌</w:t>
      </w:r>
      <w:proofErr w:type="gramEnd"/>
      <w:r w:rsidRPr="00F23491">
        <w:rPr>
          <w:rFonts w:ascii="標楷體" w:eastAsia="標楷體" w:hAnsi="標楷體" w:hint="eastAsia"/>
        </w:rPr>
        <w:t>防治觀念之宣導。</w:t>
      </w:r>
    </w:p>
    <w:p w14:paraId="50D64FF4" w14:textId="33982D28" w:rsidR="00F23491" w:rsidRPr="00F23491" w:rsidRDefault="00F23491" w:rsidP="00F23491">
      <w:pPr>
        <w:spacing w:line="0" w:lineRule="atLeast"/>
        <w:ind w:leftChars="320" w:left="768"/>
        <w:rPr>
          <w:rFonts w:ascii="標楷體" w:eastAsia="標楷體" w:hAnsi="標楷體"/>
        </w:rPr>
      </w:pPr>
      <w:r w:rsidRPr="00F23491">
        <w:rPr>
          <w:rFonts w:ascii="標楷體" w:eastAsia="標楷體" w:hAnsi="標楷體" w:hint="eastAsia"/>
        </w:rPr>
        <w:t>如有其他以上未盡事宜，由主任委員指派相關單位辦理。</w:t>
      </w:r>
    </w:p>
    <w:p w14:paraId="6BD1DE2B" w14:textId="77777777" w:rsidR="00F23491" w:rsidRDefault="00F23491" w:rsidP="00F23491">
      <w:pPr>
        <w:pStyle w:val="a3"/>
        <w:numPr>
          <w:ilvl w:val="0"/>
          <w:numId w:val="1"/>
        </w:numPr>
        <w:spacing w:line="0" w:lineRule="atLeast"/>
        <w:ind w:leftChars="0"/>
        <w:rPr>
          <w:rFonts w:ascii="標楷體" w:eastAsia="標楷體" w:hAnsi="標楷體"/>
        </w:rPr>
      </w:pPr>
      <w:r w:rsidRPr="00F23491">
        <w:rPr>
          <w:rFonts w:ascii="標楷體" w:eastAsia="標楷體" w:hAnsi="標楷體" w:hint="eastAsia"/>
        </w:rPr>
        <w:t>委員</w:t>
      </w:r>
      <w:proofErr w:type="gramStart"/>
      <w:r w:rsidRPr="00F23491">
        <w:rPr>
          <w:rFonts w:ascii="標楷體" w:eastAsia="標楷體" w:hAnsi="標楷體" w:hint="eastAsia"/>
        </w:rPr>
        <w:t>採</w:t>
      </w:r>
      <w:proofErr w:type="gramEnd"/>
      <w:r w:rsidRPr="00F23491">
        <w:rPr>
          <w:rFonts w:ascii="標楷體" w:eastAsia="標楷體" w:hAnsi="標楷體" w:hint="eastAsia"/>
        </w:rPr>
        <w:t>任期制，任期二年，得連選連任，委員出缺時，應予</w:t>
      </w:r>
      <w:proofErr w:type="gramStart"/>
      <w:r w:rsidRPr="00F23491">
        <w:rPr>
          <w:rFonts w:ascii="標楷體" w:eastAsia="標楷體" w:hAnsi="標楷體" w:hint="eastAsia"/>
        </w:rPr>
        <w:t>補聘，補聘</w:t>
      </w:r>
      <w:proofErr w:type="gramEnd"/>
      <w:r w:rsidRPr="00F23491">
        <w:rPr>
          <w:rFonts w:ascii="標楷體" w:eastAsia="標楷體" w:hAnsi="標楷體" w:hint="eastAsia"/>
        </w:rPr>
        <w:t>委員任期至原委員任期屆滿為止。</w:t>
      </w:r>
      <w:proofErr w:type="gramStart"/>
      <w:r w:rsidRPr="00F23491">
        <w:rPr>
          <w:rFonts w:ascii="標楷體" w:eastAsia="標楷體" w:hAnsi="標楷體" w:hint="eastAsia"/>
        </w:rPr>
        <w:t>惟</w:t>
      </w:r>
      <w:proofErr w:type="gramEnd"/>
      <w:r w:rsidRPr="00F23491">
        <w:rPr>
          <w:rFonts w:ascii="標楷體" w:eastAsia="標楷體" w:hAnsi="標楷體" w:hint="eastAsia"/>
        </w:rPr>
        <w:t>學生委員為一年</w:t>
      </w:r>
      <w:proofErr w:type="gramStart"/>
      <w:r w:rsidRPr="00F23491">
        <w:rPr>
          <w:rFonts w:ascii="標楷體" w:eastAsia="標楷體" w:hAnsi="標楷體" w:hint="eastAsia"/>
        </w:rPr>
        <w:t>一</w:t>
      </w:r>
      <w:proofErr w:type="gramEnd"/>
      <w:r w:rsidRPr="00F23491">
        <w:rPr>
          <w:rFonts w:ascii="標楷體" w:eastAsia="標楷體" w:hAnsi="標楷體" w:hint="eastAsia"/>
        </w:rPr>
        <w:t>聘，以符合學生自治組織推選之精神。</w:t>
      </w:r>
    </w:p>
    <w:p w14:paraId="4A12C19C" w14:textId="77777777" w:rsidR="00F23491" w:rsidRDefault="00F23491" w:rsidP="00F23491">
      <w:pPr>
        <w:pStyle w:val="a3"/>
        <w:numPr>
          <w:ilvl w:val="0"/>
          <w:numId w:val="1"/>
        </w:numPr>
        <w:spacing w:line="0" w:lineRule="atLeast"/>
        <w:ind w:leftChars="0"/>
        <w:rPr>
          <w:rFonts w:ascii="標楷體" w:eastAsia="標楷體" w:hAnsi="標楷體"/>
        </w:rPr>
      </w:pPr>
      <w:r w:rsidRPr="00F23491">
        <w:rPr>
          <w:rFonts w:ascii="標楷體" w:eastAsia="標楷體" w:hAnsi="標楷體" w:hint="eastAsia"/>
        </w:rPr>
        <w:t>性平會由主任委員為會議主席，主任委員不能出席會議時，由副主任委員代理主席職務；副主任委員亦不能出席會議時，由出席委員互推一人代理主席職務。</w:t>
      </w:r>
      <w:proofErr w:type="gramStart"/>
      <w:r w:rsidRPr="00F23491">
        <w:rPr>
          <w:rFonts w:ascii="標楷體" w:eastAsia="標楷體" w:hAnsi="標楷體" w:hint="eastAsia"/>
        </w:rPr>
        <w:t>委員均應親自</w:t>
      </w:r>
      <w:proofErr w:type="gramEnd"/>
      <w:r w:rsidRPr="00F23491">
        <w:rPr>
          <w:rFonts w:ascii="標楷體" w:eastAsia="標楷體" w:hAnsi="標楷體" w:hint="eastAsia"/>
        </w:rPr>
        <w:t>出席會議，不得由他人代理出席。性平會非有委員過半數之出席，不得開會；非有出席委員超過投票半數之同意，不得決議。可否同數時，由主席裁決之。</w:t>
      </w:r>
    </w:p>
    <w:p w14:paraId="6D74153A" w14:textId="77777777" w:rsidR="00F23491" w:rsidRDefault="00F23491" w:rsidP="00F23491">
      <w:pPr>
        <w:pStyle w:val="a3"/>
        <w:numPr>
          <w:ilvl w:val="0"/>
          <w:numId w:val="1"/>
        </w:numPr>
        <w:spacing w:line="0" w:lineRule="atLeast"/>
        <w:ind w:leftChars="0"/>
        <w:rPr>
          <w:rFonts w:ascii="標楷體" w:eastAsia="標楷體" w:hAnsi="標楷體"/>
        </w:rPr>
      </w:pPr>
      <w:r w:rsidRPr="00F23491">
        <w:rPr>
          <w:rFonts w:ascii="標楷體" w:eastAsia="標楷體" w:hAnsi="標楷體" w:hint="eastAsia"/>
        </w:rPr>
        <w:t>性平會得設置專用信箱，以利受理校園性侵害或性騷擾案。</w:t>
      </w:r>
    </w:p>
    <w:p w14:paraId="2EFB9669" w14:textId="77777777" w:rsidR="00F23491" w:rsidRDefault="00F23491" w:rsidP="00F23491">
      <w:pPr>
        <w:pStyle w:val="a3"/>
        <w:numPr>
          <w:ilvl w:val="0"/>
          <w:numId w:val="1"/>
        </w:numPr>
        <w:spacing w:line="0" w:lineRule="atLeast"/>
        <w:ind w:leftChars="0"/>
        <w:rPr>
          <w:rFonts w:ascii="標楷體" w:eastAsia="標楷體" w:hAnsi="標楷體"/>
        </w:rPr>
      </w:pPr>
      <w:r w:rsidRPr="00F23491">
        <w:rPr>
          <w:rFonts w:ascii="標楷體" w:eastAsia="標楷體" w:hAnsi="標楷體" w:hint="eastAsia"/>
        </w:rPr>
        <w:t>性平會應有月例輪值委員，三位委員為一單位，每三</w:t>
      </w:r>
      <w:proofErr w:type="gramStart"/>
      <w:r w:rsidRPr="00F23491">
        <w:rPr>
          <w:rFonts w:ascii="標楷體" w:eastAsia="標楷體" w:hAnsi="標楷體" w:hint="eastAsia"/>
        </w:rPr>
        <w:t>個</w:t>
      </w:r>
      <w:proofErr w:type="gramEnd"/>
      <w:r w:rsidRPr="00F23491">
        <w:rPr>
          <w:rFonts w:ascii="標楷體" w:eastAsia="標楷體" w:hAnsi="標楷體" w:hint="eastAsia"/>
        </w:rPr>
        <w:t>月輪換一次，陳請執行秘書召集緊急會議，處理、討論與調查校園各項性別事件。</w:t>
      </w:r>
    </w:p>
    <w:p w14:paraId="45AE51CC" w14:textId="77777777" w:rsidR="00F23491" w:rsidRDefault="00F23491" w:rsidP="00F23491">
      <w:pPr>
        <w:pStyle w:val="a3"/>
        <w:numPr>
          <w:ilvl w:val="0"/>
          <w:numId w:val="1"/>
        </w:numPr>
        <w:spacing w:line="0" w:lineRule="atLeast"/>
        <w:ind w:leftChars="0"/>
        <w:rPr>
          <w:rFonts w:ascii="標楷體" w:eastAsia="標楷體" w:hAnsi="標楷體"/>
        </w:rPr>
      </w:pPr>
      <w:r w:rsidRPr="00F23491">
        <w:rPr>
          <w:rFonts w:ascii="標楷體" w:eastAsia="標楷體" w:hAnsi="標楷體" w:hint="eastAsia"/>
        </w:rPr>
        <w:t>輪值委員優先</w:t>
      </w:r>
      <w:proofErr w:type="gramStart"/>
      <w:r w:rsidRPr="00F23491">
        <w:rPr>
          <w:rFonts w:ascii="標楷體" w:eastAsia="標楷體" w:hAnsi="標楷體" w:hint="eastAsia"/>
        </w:rPr>
        <w:t>薦送當</w:t>
      </w:r>
      <w:proofErr w:type="gramEnd"/>
      <w:r w:rsidRPr="00F23491">
        <w:rPr>
          <w:rFonts w:ascii="標楷體" w:eastAsia="標楷體" w:hAnsi="標楷體" w:hint="eastAsia"/>
        </w:rPr>
        <w:t>月份之教育部性別平等教育相關研習與校園性侵害或性騷擾事件調查專業素養人才庫培訓。</w:t>
      </w:r>
    </w:p>
    <w:p w14:paraId="1B9ACFC3" w14:textId="77777777" w:rsidR="00F23491" w:rsidRDefault="00F23491" w:rsidP="00F23491">
      <w:pPr>
        <w:pStyle w:val="a3"/>
        <w:numPr>
          <w:ilvl w:val="0"/>
          <w:numId w:val="1"/>
        </w:numPr>
        <w:spacing w:line="0" w:lineRule="atLeast"/>
        <w:ind w:leftChars="0"/>
        <w:rPr>
          <w:rFonts w:ascii="標楷體" w:eastAsia="標楷體" w:hAnsi="標楷體"/>
        </w:rPr>
      </w:pPr>
      <w:r w:rsidRPr="00F23491">
        <w:rPr>
          <w:rFonts w:ascii="標楷體" w:eastAsia="標楷體" w:hAnsi="標楷體" w:hint="eastAsia"/>
        </w:rPr>
        <w:t>性平會就會務執掌內容擬定年度工作計畫及年度工作績效報告，以為本校性別平等工作之成果，及性平會傳承之參考。</w:t>
      </w:r>
    </w:p>
    <w:p w14:paraId="1EADD46F" w14:textId="10A622F3" w:rsidR="00F23491" w:rsidRDefault="00F23491" w:rsidP="00F23491">
      <w:pPr>
        <w:pStyle w:val="a3"/>
        <w:numPr>
          <w:ilvl w:val="0"/>
          <w:numId w:val="1"/>
        </w:numPr>
        <w:spacing w:line="0" w:lineRule="atLeast"/>
        <w:ind w:leftChars="0" w:left="756" w:hanging="756"/>
        <w:rPr>
          <w:rFonts w:ascii="標楷體" w:eastAsia="標楷體" w:hAnsi="標楷體"/>
        </w:rPr>
      </w:pPr>
      <w:r w:rsidRPr="00F23491">
        <w:rPr>
          <w:rFonts w:ascii="標楷體" w:eastAsia="標楷體" w:hAnsi="標楷體" w:hint="eastAsia"/>
        </w:rPr>
        <w:t>性平會每年應依所擬各項實施方案，及調查處理校園性侵害或性騷擾所生相關費用與報酬編列預算。性平會經費來源為：(</w:t>
      </w:r>
      <w:proofErr w:type="gramStart"/>
      <w:r w:rsidRPr="00F23491">
        <w:rPr>
          <w:rFonts w:ascii="標楷體" w:eastAsia="標楷體" w:hAnsi="標楷體" w:hint="eastAsia"/>
        </w:rPr>
        <w:t>一</w:t>
      </w:r>
      <w:proofErr w:type="gramEnd"/>
      <w:r w:rsidRPr="00F23491">
        <w:rPr>
          <w:rFonts w:ascii="標楷體" w:eastAsia="標楷體" w:hAnsi="標楷體" w:hint="eastAsia"/>
        </w:rPr>
        <w:t>)校務基金、(二)教育部申請經費、(三)、其他</w:t>
      </w:r>
      <w:r>
        <w:rPr>
          <w:rFonts w:ascii="標楷體" w:eastAsia="標楷體" w:hAnsi="標楷體" w:hint="eastAsia"/>
        </w:rPr>
        <w:t>。</w:t>
      </w:r>
    </w:p>
    <w:p w14:paraId="6FDA8DD7" w14:textId="15CA658A" w:rsidR="00EC332B" w:rsidRPr="00F23491" w:rsidRDefault="00F23491" w:rsidP="00F23491">
      <w:pPr>
        <w:pStyle w:val="a3"/>
        <w:numPr>
          <w:ilvl w:val="0"/>
          <w:numId w:val="1"/>
        </w:numPr>
        <w:spacing w:line="0" w:lineRule="atLeast"/>
        <w:ind w:leftChars="0" w:left="756" w:hanging="756"/>
        <w:rPr>
          <w:rFonts w:ascii="標楷體" w:eastAsia="標楷體" w:hAnsi="標楷體"/>
        </w:rPr>
      </w:pPr>
      <w:r w:rsidRPr="00F23491">
        <w:rPr>
          <w:rFonts w:ascii="標楷體" w:eastAsia="標楷體" w:hAnsi="標楷體" w:hint="eastAsia"/>
        </w:rPr>
        <w:t>本要點經行政會議及校務會議審議通過，陳請校長核定後實施，修正時亦同。</w:t>
      </w:r>
    </w:p>
    <w:sectPr w:rsidR="00EC332B" w:rsidRPr="00F23491" w:rsidSect="00A8611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5433" w14:textId="77777777" w:rsidR="009139E3" w:rsidRDefault="009139E3" w:rsidP="002C3538">
      <w:r>
        <w:separator/>
      </w:r>
    </w:p>
  </w:endnote>
  <w:endnote w:type="continuationSeparator" w:id="0">
    <w:p w14:paraId="44FC7A5D" w14:textId="77777777" w:rsidR="009139E3" w:rsidRDefault="009139E3" w:rsidP="002C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D7E9" w14:textId="77777777" w:rsidR="009139E3" w:rsidRDefault="009139E3" w:rsidP="002C3538">
      <w:r>
        <w:separator/>
      </w:r>
    </w:p>
  </w:footnote>
  <w:footnote w:type="continuationSeparator" w:id="0">
    <w:p w14:paraId="00965222" w14:textId="77777777" w:rsidR="009139E3" w:rsidRDefault="009139E3" w:rsidP="002C3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3513"/>
    <w:multiLevelType w:val="hybridMultilevel"/>
    <w:tmpl w:val="C978AEBE"/>
    <w:lvl w:ilvl="0" w:tplc="60921BD0">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3C51C1"/>
    <w:multiLevelType w:val="hybridMultilevel"/>
    <w:tmpl w:val="3DEE5724"/>
    <w:lvl w:ilvl="0" w:tplc="60921B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0913E1"/>
    <w:multiLevelType w:val="hybridMultilevel"/>
    <w:tmpl w:val="B664B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2722CA"/>
    <w:multiLevelType w:val="hybridMultilevel"/>
    <w:tmpl w:val="B8C01248"/>
    <w:lvl w:ilvl="0" w:tplc="60921B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193499"/>
    <w:multiLevelType w:val="multilevel"/>
    <w:tmpl w:val="03EA9C46"/>
    <w:lvl w:ilvl="0">
      <w:start w:val="109"/>
      <w:numFmt w:val="decimal"/>
      <w:lvlText w:val="%1"/>
      <w:lvlJc w:val="left"/>
      <w:pPr>
        <w:ind w:left="1080" w:hanging="1080"/>
      </w:pPr>
      <w:rPr>
        <w:rFonts w:hint="default"/>
        <w:sz w:val="16"/>
      </w:rPr>
    </w:lvl>
    <w:lvl w:ilvl="1">
      <w:start w:val="12"/>
      <w:numFmt w:val="decimal"/>
      <w:lvlText w:val="%1.%2"/>
      <w:lvlJc w:val="left"/>
      <w:pPr>
        <w:ind w:left="1080" w:hanging="1080"/>
      </w:pPr>
      <w:rPr>
        <w:rFonts w:hint="default"/>
        <w:sz w:val="16"/>
      </w:rPr>
    </w:lvl>
    <w:lvl w:ilvl="2">
      <w:start w:val="29"/>
      <w:numFmt w:val="decimal"/>
      <w:lvlText w:val="%1.%2.%3"/>
      <w:lvlJc w:val="left"/>
      <w:pPr>
        <w:ind w:left="1080" w:hanging="1080"/>
      </w:pPr>
      <w:rPr>
        <w:rFonts w:hint="default"/>
        <w:sz w:val="16"/>
      </w:rPr>
    </w:lvl>
    <w:lvl w:ilvl="3">
      <w:start w:val="109"/>
      <w:numFmt w:val="decimal"/>
      <w:lvlText w:val="%1.%2.%3-%4"/>
      <w:lvlJc w:val="left"/>
      <w:pPr>
        <w:ind w:left="1080" w:hanging="108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440" w:hanging="1440"/>
      </w:pPr>
      <w:rPr>
        <w:rFonts w:hint="default"/>
        <w:sz w:val="16"/>
      </w:rPr>
    </w:lvl>
    <w:lvl w:ilvl="6">
      <w:start w:val="1"/>
      <w:numFmt w:val="decimal"/>
      <w:lvlText w:val="%1.%2.%3-%4.%5.%6.%7"/>
      <w:lvlJc w:val="left"/>
      <w:pPr>
        <w:ind w:left="1800" w:hanging="1800"/>
      </w:pPr>
      <w:rPr>
        <w:rFonts w:hint="default"/>
        <w:sz w:val="16"/>
      </w:rPr>
    </w:lvl>
    <w:lvl w:ilvl="7">
      <w:start w:val="1"/>
      <w:numFmt w:val="decimal"/>
      <w:lvlText w:val="%1.%2.%3-%4.%5.%6.%7.%8"/>
      <w:lvlJc w:val="left"/>
      <w:pPr>
        <w:ind w:left="1800" w:hanging="1800"/>
      </w:pPr>
      <w:rPr>
        <w:rFonts w:hint="default"/>
        <w:sz w:val="16"/>
      </w:rPr>
    </w:lvl>
    <w:lvl w:ilvl="8">
      <w:start w:val="1"/>
      <w:numFmt w:val="decimal"/>
      <w:lvlText w:val="%1.%2.%3-%4.%5.%6.%7.%8.%9"/>
      <w:lvlJc w:val="left"/>
      <w:pPr>
        <w:ind w:left="2160" w:hanging="2160"/>
      </w:pPr>
      <w:rPr>
        <w:rFonts w:hint="default"/>
        <w:sz w:val="16"/>
      </w:rPr>
    </w:lvl>
  </w:abstractNum>
  <w:abstractNum w:abstractNumId="5" w15:restartNumberingAfterBreak="0">
    <w:nsid w:val="69BF0A54"/>
    <w:multiLevelType w:val="hybridMultilevel"/>
    <w:tmpl w:val="CE10B7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63171358">
    <w:abstractNumId w:val="5"/>
  </w:num>
  <w:num w:numId="2" w16cid:durableId="122699213">
    <w:abstractNumId w:val="4"/>
  </w:num>
  <w:num w:numId="3" w16cid:durableId="1475873636">
    <w:abstractNumId w:val="0"/>
  </w:num>
  <w:num w:numId="4" w16cid:durableId="1914391335">
    <w:abstractNumId w:val="2"/>
  </w:num>
  <w:num w:numId="5" w16cid:durableId="1510100463">
    <w:abstractNumId w:val="3"/>
  </w:num>
  <w:num w:numId="6" w16cid:durableId="198673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91"/>
    <w:rsid w:val="002C3538"/>
    <w:rsid w:val="00441D81"/>
    <w:rsid w:val="009139E3"/>
    <w:rsid w:val="00A8611A"/>
    <w:rsid w:val="00EA5AC6"/>
    <w:rsid w:val="00EC332B"/>
    <w:rsid w:val="00F234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2A3C0"/>
  <w15:chartTrackingRefBased/>
  <w15:docId w15:val="{E78BEF67-5A73-435D-8D52-13768793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491"/>
    <w:pPr>
      <w:ind w:leftChars="200" w:left="480"/>
    </w:pPr>
  </w:style>
  <w:style w:type="paragraph" w:styleId="a4">
    <w:name w:val="header"/>
    <w:basedOn w:val="a"/>
    <w:link w:val="a5"/>
    <w:uiPriority w:val="99"/>
    <w:unhideWhenUsed/>
    <w:rsid w:val="002C3538"/>
    <w:pPr>
      <w:tabs>
        <w:tab w:val="center" w:pos="4153"/>
        <w:tab w:val="right" w:pos="8306"/>
      </w:tabs>
      <w:snapToGrid w:val="0"/>
    </w:pPr>
    <w:rPr>
      <w:sz w:val="20"/>
      <w:szCs w:val="20"/>
    </w:rPr>
  </w:style>
  <w:style w:type="character" w:customStyle="1" w:styleId="a5">
    <w:name w:val="頁首 字元"/>
    <w:basedOn w:val="a0"/>
    <w:link w:val="a4"/>
    <w:uiPriority w:val="99"/>
    <w:rsid w:val="002C3538"/>
    <w:rPr>
      <w:sz w:val="20"/>
      <w:szCs w:val="20"/>
    </w:rPr>
  </w:style>
  <w:style w:type="paragraph" w:styleId="a6">
    <w:name w:val="footer"/>
    <w:basedOn w:val="a"/>
    <w:link w:val="a7"/>
    <w:uiPriority w:val="99"/>
    <w:unhideWhenUsed/>
    <w:rsid w:val="002C3538"/>
    <w:pPr>
      <w:tabs>
        <w:tab w:val="center" w:pos="4153"/>
        <w:tab w:val="right" w:pos="8306"/>
      </w:tabs>
      <w:snapToGrid w:val="0"/>
    </w:pPr>
    <w:rPr>
      <w:sz w:val="20"/>
      <w:szCs w:val="20"/>
    </w:rPr>
  </w:style>
  <w:style w:type="character" w:customStyle="1" w:styleId="a7">
    <w:name w:val="頁尾 字元"/>
    <w:basedOn w:val="a0"/>
    <w:link w:val="a6"/>
    <w:uiPriority w:val="99"/>
    <w:rsid w:val="002C35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林恩宇</dc:creator>
  <cp:keywords/>
  <dc:description/>
  <cp:lastModifiedBy>鄭靜琪</cp:lastModifiedBy>
  <cp:revision>4</cp:revision>
  <cp:lastPrinted>2023-08-16T07:43:00Z</cp:lastPrinted>
  <dcterms:created xsi:type="dcterms:W3CDTF">2023-08-16T06:52:00Z</dcterms:created>
  <dcterms:modified xsi:type="dcterms:W3CDTF">2025-08-14T08:42:00Z</dcterms:modified>
</cp:coreProperties>
</file>